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3FB81" w14:textId="195D10BF" w:rsidR="006153A8" w:rsidRPr="006153A8" w:rsidRDefault="006153A8" w:rsidP="006153A8">
      <w:pPr>
        <w:jc w:val="center"/>
        <w:rPr>
          <w:rFonts w:ascii="Arial" w:hAnsi="Arial" w:cs="Arial"/>
          <w:b/>
          <w:bCs/>
          <w:sz w:val="28"/>
          <w:szCs w:val="28"/>
        </w:rPr>
      </w:pPr>
      <w:r>
        <w:rPr>
          <w:rFonts w:ascii="Arial" w:hAnsi="Arial" w:cs="Arial"/>
          <w:b/>
          <w:bCs/>
          <w:sz w:val="28"/>
          <w:szCs w:val="28"/>
        </w:rPr>
        <w:t>PREMIUM PAY SUMMARY</w:t>
      </w:r>
    </w:p>
    <w:p w14:paraId="4583EC09" w14:textId="016D4695" w:rsidR="002A4E2B" w:rsidRPr="00B8336D" w:rsidRDefault="002A4E2B">
      <w:pPr>
        <w:rPr>
          <w:rFonts w:ascii="Arial" w:hAnsi="Arial" w:cs="Arial"/>
          <w:b/>
          <w:bCs/>
          <w:color w:val="212121"/>
          <w:sz w:val="24"/>
          <w:szCs w:val="24"/>
        </w:rPr>
      </w:pPr>
      <w:r w:rsidRPr="00B8336D">
        <w:rPr>
          <w:rFonts w:ascii="Arial" w:hAnsi="Arial" w:cs="Arial"/>
          <w:b/>
          <w:bCs/>
          <w:sz w:val="24"/>
          <w:szCs w:val="24"/>
        </w:rPr>
        <w:t xml:space="preserve">American Rescue Plan Act (“ARPA”) </w:t>
      </w:r>
      <w:r w:rsidR="00AB1755" w:rsidRPr="00B8336D">
        <w:rPr>
          <w:rFonts w:ascii="Arial" w:hAnsi="Arial" w:cs="Arial"/>
          <w:b/>
          <w:bCs/>
          <w:sz w:val="24"/>
          <w:szCs w:val="24"/>
        </w:rPr>
        <w:t>Fiscal Recovery Funds</w:t>
      </w:r>
      <w:r w:rsidR="003F22A5" w:rsidRPr="00B8336D">
        <w:rPr>
          <w:rFonts w:ascii="Arial" w:hAnsi="Arial" w:cs="Arial"/>
          <w:b/>
          <w:bCs/>
          <w:sz w:val="24"/>
          <w:szCs w:val="24"/>
        </w:rPr>
        <w:t xml:space="preserve"> (“FRF”)</w:t>
      </w:r>
      <w:r w:rsidR="00AB1755" w:rsidRPr="00B8336D">
        <w:rPr>
          <w:rFonts w:ascii="Arial" w:hAnsi="Arial" w:cs="Arial"/>
          <w:b/>
          <w:bCs/>
          <w:sz w:val="24"/>
          <w:szCs w:val="24"/>
        </w:rPr>
        <w:t xml:space="preserve"> may be used to</w:t>
      </w:r>
      <w:r w:rsidR="00AB1755" w:rsidRPr="00B8336D">
        <w:rPr>
          <w:rFonts w:ascii="Arial" w:hAnsi="Arial" w:cs="Arial"/>
          <w:b/>
          <w:bCs/>
          <w:color w:val="212121"/>
          <w:sz w:val="24"/>
          <w:szCs w:val="24"/>
        </w:rPr>
        <w:t xml:space="preserve"> provide premium pay to eligible workers</w:t>
      </w:r>
      <w:r w:rsidRPr="00B8336D">
        <w:rPr>
          <w:rFonts w:ascii="Arial" w:hAnsi="Arial" w:cs="Arial"/>
          <w:b/>
          <w:bCs/>
          <w:color w:val="212121"/>
          <w:sz w:val="24"/>
          <w:szCs w:val="24"/>
        </w:rPr>
        <w:t xml:space="preserve"> performing essential work during the COVID-19 public health emergency or to provide grants to third-party employers with eligible workers performing essential work. </w:t>
      </w:r>
    </w:p>
    <w:p w14:paraId="561D80C6" w14:textId="6F76A1F3" w:rsidR="00310A12" w:rsidRPr="00B8336D" w:rsidRDefault="00890367">
      <w:pPr>
        <w:rPr>
          <w:rFonts w:ascii="Arial" w:hAnsi="Arial" w:cs="Arial"/>
          <w:color w:val="212121"/>
          <w:sz w:val="24"/>
          <w:szCs w:val="24"/>
        </w:rPr>
      </w:pPr>
      <w:r w:rsidRPr="00B8336D">
        <w:rPr>
          <w:rFonts w:ascii="Arial" w:hAnsi="Arial" w:cs="Arial"/>
          <w:sz w:val="24"/>
          <w:szCs w:val="24"/>
        </w:rPr>
        <w:t>Premium pay is a way that recipients can</w:t>
      </w:r>
      <w:r w:rsidR="00310A12" w:rsidRPr="00B8336D">
        <w:rPr>
          <w:rFonts w:ascii="Arial" w:hAnsi="Arial" w:cs="Arial"/>
          <w:sz w:val="24"/>
          <w:szCs w:val="24"/>
        </w:rPr>
        <w:t xml:space="preserve"> offer</w:t>
      </w:r>
      <w:r w:rsidRPr="00B8336D">
        <w:rPr>
          <w:rFonts w:ascii="Arial" w:hAnsi="Arial" w:cs="Arial"/>
          <w:sz w:val="24"/>
          <w:szCs w:val="24"/>
        </w:rPr>
        <w:t xml:space="preserve"> </w:t>
      </w:r>
      <w:r w:rsidR="00310A12" w:rsidRPr="00B8336D">
        <w:rPr>
          <w:rFonts w:ascii="Arial" w:hAnsi="Arial" w:cs="Arial"/>
          <w:sz w:val="24"/>
          <w:szCs w:val="24"/>
        </w:rPr>
        <w:t xml:space="preserve">additional support to those </w:t>
      </w:r>
      <w:r w:rsidRPr="00B8336D">
        <w:rPr>
          <w:rFonts w:ascii="Arial" w:hAnsi="Arial" w:cs="Arial"/>
          <w:sz w:val="24"/>
          <w:szCs w:val="24"/>
        </w:rPr>
        <w:t xml:space="preserve">eligible workers </w:t>
      </w:r>
      <w:r w:rsidR="00310A12" w:rsidRPr="00B8336D">
        <w:rPr>
          <w:rFonts w:ascii="Arial" w:hAnsi="Arial" w:cs="Arial"/>
          <w:sz w:val="24"/>
          <w:szCs w:val="24"/>
        </w:rPr>
        <w:t>who have borne and will bear the greatest health risks because of their service in critical infrastructure sectors. Since the start of the public health emergency, essential workers have put their physical well-being at risk to meet the daily needs of their communities and to provide care for others.</w:t>
      </w:r>
    </w:p>
    <w:p w14:paraId="422D8E69" w14:textId="77777777" w:rsidR="00A12550" w:rsidRPr="00B8336D" w:rsidRDefault="00A12550" w:rsidP="00A12550">
      <w:pPr>
        <w:rPr>
          <w:rFonts w:ascii="Arial" w:hAnsi="Arial" w:cs="Arial"/>
          <w:b/>
          <w:bCs/>
          <w:sz w:val="24"/>
          <w:szCs w:val="24"/>
        </w:rPr>
      </w:pPr>
      <w:r w:rsidRPr="00B8336D">
        <w:rPr>
          <w:rFonts w:ascii="Arial" w:hAnsi="Arial" w:cs="Arial"/>
          <w:b/>
          <w:bCs/>
          <w:sz w:val="24"/>
          <w:szCs w:val="24"/>
        </w:rPr>
        <w:t>What is premium pay?</w:t>
      </w:r>
    </w:p>
    <w:p w14:paraId="64CE4B50" w14:textId="236E2EDC" w:rsidR="000F2DF5" w:rsidRPr="00B8336D" w:rsidRDefault="00A12550" w:rsidP="00A12550">
      <w:pPr>
        <w:spacing w:after="0" w:line="240" w:lineRule="auto"/>
        <w:rPr>
          <w:rFonts w:ascii="Arial" w:eastAsia="Times New Roman" w:hAnsi="Arial" w:cs="Arial"/>
          <w:color w:val="212121"/>
          <w:sz w:val="24"/>
          <w:szCs w:val="24"/>
        </w:rPr>
      </w:pPr>
      <w:r w:rsidRPr="00B8336D">
        <w:rPr>
          <w:rFonts w:ascii="Arial" w:hAnsi="Arial" w:cs="Arial"/>
          <w:sz w:val="24"/>
          <w:szCs w:val="24"/>
        </w:rPr>
        <w:t xml:space="preserve">Premium pay </w:t>
      </w:r>
      <w:r w:rsidR="00F81CED">
        <w:rPr>
          <w:rFonts w:ascii="Arial" w:hAnsi="Arial" w:cs="Arial"/>
          <w:sz w:val="24"/>
          <w:szCs w:val="24"/>
        </w:rPr>
        <w:t>is</w:t>
      </w:r>
      <w:r w:rsidRPr="00B8336D">
        <w:rPr>
          <w:rFonts w:ascii="Arial" w:hAnsi="Arial" w:cs="Arial"/>
          <w:sz w:val="24"/>
          <w:szCs w:val="24"/>
        </w:rPr>
        <w:t xml:space="preserve"> </w:t>
      </w:r>
      <w:r w:rsidRPr="00B8336D">
        <w:rPr>
          <w:rFonts w:ascii="Arial" w:eastAsia="Times New Roman" w:hAnsi="Arial" w:cs="Arial"/>
          <w:color w:val="212121"/>
          <w:sz w:val="24"/>
          <w:szCs w:val="24"/>
        </w:rPr>
        <w:t>an amount of up to $13 per hour that is paid to an eligible worker, in addition to wages or remuneration the eligible worker otherwise receives.</w:t>
      </w:r>
      <w:r w:rsidR="000F2DF5" w:rsidRPr="00B8336D">
        <w:rPr>
          <w:rFonts w:ascii="Arial" w:eastAsia="Times New Roman" w:hAnsi="Arial" w:cs="Arial"/>
          <w:color w:val="212121"/>
          <w:sz w:val="24"/>
          <w:szCs w:val="24"/>
        </w:rPr>
        <w:t xml:space="preserve"> Premium pay </w:t>
      </w:r>
      <w:proofErr w:type="spellStart"/>
      <w:r w:rsidR="000F2DF5" w:rsidRPr="00B8336D">
        <w:rPr>
          <w:rFonts w:ascii="Arial" w:eastAsia="Times New Roman" w:hAnsi="Arial" w:cs="Arial"/>
          <w:color w:val="212121"/>
          <w:sz w:val="24"/>
          <w:szCs w:val="24"/>
        </w:rPr>
        <w:t>can not</w:t>
      </w:r>
      <w:proofErr w:type="spellEnd"/>
      <w:r w:rsidR="000F2DF5" w:rsidRPr="00B8336D">
        <w:rPr>
          <w:rFonts w:ascii="Arial" w:eastAsia="Times New Roman" w:hAnsi="Arial" w:cs="Arial"/>
          <w:color w:val="212121"/>
          <w:sz w:val="24"/>
          <w:szCs w:val="24"/>
        </w:rPr>
        <w:t xml:space="preserve"> exceed $25,000 per eligible worker.</w:t>
      </w:r>
      <w:r w:rsidRPr="00B8336D">
        <w:rPr>
          <w:rFonts w:ascii="Arial" w:eastAsia="Times New Roman" w:hAnsi="Arial" w:cs="Arial"/>
          <w:color w:val="212121"/>
          <w:sz w:val="24"/>
          <w:szCs w:val="24"/>
        </w:rPr>
        <w:t xml:space="preserve"> </w:t>
      </w:r>
    </w:p>
    <w:p w14:paraId="0D3CA5F1" w14:textId="77777777" w:rsidR="000F2DF5" w:rsidRPr="00B8336D" w:rsidRDefault="000F2DF5" w:rsidP="00A12550">
      <w:pPr>
        <w:spacing w:after="0" w:line="240" w:lineRule="auto"/>
        <w:rPr>
          <w:rFonts w:ascii="Arial" w:eastAsia="Times New Roman" w:hAnsi="Arial" w:cs="Arial"/>
          <w:color w:val="212121"/>
          <w:sz w:val="24"/>
          <w:szCs w:val="24"/>
        </w:rPr>
      </w:pPr>
    </w:p>
    <w:p w14:paraId="2826C38D" w14:textId="38150FBE" w:rsidR="00AB1755" w:rsidRPr="00B8336D" w:rsidRDefault="00365899">
      <w:pPr>
        <w:rPr>
          <w:rFonts w:ascii="Arial" w:hAnsi="Arial" w:cs="Arial"/>
          <w:sz w:val="24"/>
          <w:szCs w:val="24"/>
        </w:rPr>
      </w:pPr>
      <w:r w:rsidRPr="00B8336D">
        <w:rPr>
          <w:rFonts w:ascii="Arial" w:hAnsi="Arial" w:cs="Arial"/>
          <w:sz w:val="24"/>
          <w:szCs w:val="24"/>
        </w:rPr>
        <w:t xml:space="preserve">Treasury’s Interim Final Rule (31 C.F.R. § 35) emphasizes the need for recipients to prioritize premium pay for lower-income workers. </w:t>
      </w:r>
      <w:r w:rsidR="006F4943" w:rsidRPr="00B8336D">
        <w:rPr>
          <w:rFonts w:ascii="Arial" w:hAnsi="Arial" w:cs="Arial"/>
          <w:sz w:val="24"/>
          <w:szCs w:val="24"/>
        </w:rPr>
        <w:t xml:space="preserve">Treasury </w:t>
      </w:r>
      <w:r w:rsidR="00417964" w:rsidRPr="00B8336D">
        <w:rPr>
          <w:rFonts w:ascii="Arial" w:hAnsi="Arial" w:cs="Arial"/>
          <w:sz w:val="24"/>
          <w:szCs w:val="24"/>
        </w:rPr>
        <w:t xml:space="preserve">also </w:t>
      </w:r>
      <w:r w:rsidR="006F4943" w:rsidRPr="00B8336D">
        <w:rPr>
          <w:rFonts w:ascii="Arial" w:hAnsi="Arial" w:cs="Arial"/>
          <w:sz w:val="24"/>
          <w:szCs w:val="24"/>
        </w:rPr>
        <w:t>encourages recipients to prioritize providing retrospective premium pay where possible because many eligible essential workers have not received additional compensation for essential work conducted since the beginning of the public health emergency.</w:t>
      </w:r>
      <w:r w:rsidR="006F4943" w:rsidRPr="00B8336D">
        <w:rPr>
          <w:rStyle w:val="FootnoteReference"/>
          <w:rFonts w:ascii="Arial" w:hAnsi="Arial" w:cs="Arial"/>
          <w:sz w:val="24"/>
          <w:szCs w:val="24"/>
        </w:rPr>
        <w:footnoteReference w:id="1"/>
      </w:r>
      <w:r w:rsidR="000F2DF5" w:rsidRPr="00B8336D">
        <w:rPr>
          <w:rFonts w:ascii="Arial" w:hAnsi="Arial" w:cs="Arial"/>
          <w:sz w:val="24"/>
          <w:szCs w:val="24"/>
        </w:rPr>
        <w:t xml:space="preserve"> P</w:t>
      </w:r>
      <w:r w:rsidRPr="00B8336D">
        <w:rPr>
          <w:rFonts w:ascii="Arial" w:hAnsi="Arial" w:cs="Arial"/>
          <w:sz w:val="24"/>
          <w:szCs w:val="24"/>
        </w:rPr>
        <w:t xml:space="preserve">remium pay that would increase a worker’s total pay above 150% of the greater of the state or county average annual wage requires specific </w:t>
      </w:r>
      <w:r w:rsidR="006A65D8" w:rsidRPr="00B8336D">
        <w:rPr>
          <w:rFonts w:ascii="Arial" w:hAnsi="Arial" w:cs="Arial"/>
          <w:sz w:val="24"/>
          <w:szCs w:val="24"/>
        </w:rPr>
        <w:t xml:space="preserve">written </w:t>
      </w:r>
      <w:r w:rsidRPr="00B8336D">
        <w:rPr>
          <w:rFonts w:ascii="Arial" w:hAnsi="Arial" w:cs="Arial"/>
          <w:sz w:val="24"/>
          <w:szCs w:val="24"/>
        </w:rPr>
        <w:t xml:space="preserve">justification for how it responds to the needs of these workers. </w:t>
      </w:r>
    </w:p>
    <w:p w14:paraId="10D6BBF1" w14:textId="13201022" w:rsidR="00062CA6" w:rsidRPr="00B8336D" w:rsidRDefault="00062CA6" w:rsidP="00AB122F">
      <w:pPr>
        <w:rPr>
          <w:rFonts w:ascii="Arial" w:hAnsi="Arial" w:cs="Arial"/>
          <w:b/>
          <w:bCs/>
          <w:sz w:val="24"/>
          <w:szCs w:val="24"/>
        </w:rPr>
      </w:pPr>
      <w:r w:rsidRPr="00B8336D">
        <w:rPr>
          <w:rFonts w:ascii="Arial" w:hAnsi="Arial" w:cs="Arial"/>
          <w:b/>
          <w:bCs/>
          <w:sz w:val="24"/>
          <w:szCs w:val="24"/>
        </w:rPr>
        <w:t>Who is an eligible employer?</w:t>
      </w:r>
    </w:p>
    <w:p w14:paraId="5FDB39B5" w14:textId="749CDFDB" w:rsidR="00062CA6" w:rsidRPr="00B8336D" w:rsidRDefault="00062CA6" w:rsidP="00AB122F">
      <w:pPr>
        <w:rPr>
          <w:rFonts w:ascii="Arial" w:hAnsi="Arial" w:cs="Arial"/>
          <w:sz w:val="24"/>
          <w:szCs w:val="24"/>
        </w:rPr>
      </w:pPr>
      <w:r w:rsidRPr="00B8336D">
        <w:rPr>
          <w:rFonts w:ascii="Arial" w:hAnsi="Arial" w:cs="Arial"/>
          <w:color w:val="212121"/>
          <w:sz w:val="24"/>
          <w:szCs w:val="24"/>
        </w:rPr>
        <w:t>“Eligible employer” means an employer of an eligible worker who performs essential work. 31 C.F.R. § 35.3</w:t>
      </w:r>
      <w:r w:rsidR="005F712B" w:rsidRPr="00B8336D">
        <w:rPr>
          <w:rFonts w:ascii="Arial" w:hAnsi="Arial" w:cs="Arial"/>
          <w:color w:val="212121"/>
          <w:sz w:val="24"/>
          <w:szCs w:val="24"/>
        </w:rPr>
        <w:t xml:space="preserve">. </w:t>
      </w:r>
    </w:p>
    <w:p w14:paraId="1E6A8D8B" w14:textId="7DF371A6" w:rsidR="005837E2" w:rsidRPr="00B8336D" w:rsidRDefault="00BB55FF" w:rsidP="00AB122F">
      <w:pPr>
        <w:rPr>
          <w:rFonts w:ascii="Arial" w:hAnsi="Arial" w:cs="Arial"/>
          <w:b/>
          <w:bCs/>
          <w:sz w:val="24"/>
          <w:szCs w:val="24"/>
        </w:rPr>
      </w:pPr>
      <w:r w:rsidRPr="00B8336D">
        <w:rPr>
          <w:rFonts w:ascii="Arial" w:hAnsi="Arial" w:cs="Arial"/>
          <w:b/>
          <w:bCs/>
          <w:sz w:val="24"/>
          <w:szCs w:val="24"/>
        </w:rPr>
        <w:t xml:space="preserve">Who </w:t>
      </w:r>
      <w:r w:rsidR="00D038A5" w:rsidRPr="00B8336D">
        <w:rPr>
          <w:rFonts w:ascii="Arial" w:hAnsi="Arial" w:cs="Arial"/>
          <w:b/>
          <w:bCs/>
          <w:sz w:val="24"/>
          <w:szCs w:val="24"/>
        </w:rPr>
        <w:t>are</w:t>
      </w:r>
      <w:r w:rsidRPr="00B8336D">
        <w:rPr>
          <w:rFonts w:ascii="Arial" w:hAnsi="Arial" w:cs="Arial"/>
          <w:b/>
          <w:bCs/>
          <w:sz w:val="24"/>
          <w:szCs w:val="24"/>
        </w:rPr>
        <w:t xml:space="preserve"> eligible worker</w:t>
      </w:r>
      <w:r w:rsidR="00D038A5" w:rsidRPr="00B8336D">
        <w:rPr>
          <w:rFonts w:ascii="Arial" w:hAnsi="Arial" w:cs="Arial"/>
          <w:b/>
          <w:bCs/>
          <w:sz w:val="24"/>
          <w:szCs w:val="24"/>
        </w:rPr>
        <w:t>s</w:t>
      </w:r>
      <w:r w:rsidRPr="00B8336D">
        <w:rPr>
          <w:rFonts w:ascii="Arial" w:hAnsi="Arial" w:cs="Arial"/>
          <w:b/>
          <w:bCs/>
          <w:sz w:val="24"/>
          <w:szCs w:val="24"/>
        </w:rPr>
        <w:t>?</w:t>
      </w:r>
    </w:p>
    <w:p w14:paraId="40A368D0" w14:textId="52D47A21" w:rsidR="00E2495A" w:rsidRPr="00B8336D" w:rsidRDefault="00D038A5" w:rsidP="00E2495A">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w:t>
      </w:r>
      <w:r w:rsidR="00E2495A" w:rsidRPr="00B8336D">
        <w:rPr>
          <w:rFonts w:ascii="Arial" w:eastAsia="Times New Roman" w:hAnsi="Arial" w:cs="Arial"/>
          <w:color w:val="212121"/>
          <w:sz w:val="24"/>
          <w:szCs w:val="24"/>
        </w:rPr>
        <w:t>Eligible workers</w:t>
      </w:r>
      <w:r w:rsidRPr="00B8336D">
        <w:rPr>
          <w:rFonts w:ascii="Arial" w:eastAsia="Times New Roman" w:hAnsi="Arial" w:cs="Arial"/>
          <w:color w:val="212121"/>
          <w:sz w:val="24"/>
          <w:szCs w:val="24"/>
        </w:rPr>
        <w:t>”</w:t>
      </w:r>
      <w:r w:rsidR="00E2495A" w:rsidRPr="00B8336D">
        <w:rPr>
          <w:rFonts w:ascii="Arial" w:eastAsia="Times New Roman" w:hAnsi="Arial" w:cs="Arial"/>
          <w:color w:val="212121"/>
          <w:sz w:val="24"/>
          <w:szCs w:val="24"/>
        </w:rPr>
        <w:t xml:space="preserve"> means workers needed to maintain continuity of operations of essential critical infrastructure sectors, including health care; emergency response; sanitation, disinfection, and cleaning work; maintenance work; grocery stores, restaurants, food production, and food delivery; pharmacy; biomedical research; behavioral health work; medical testing and diagnostics; home- and community-based health care or assistance with activities of daily living; family or child care; social services work; public health work; vital services to Tribes; any work performed by an employee of a State, local, or Tribal government; educational work, school nutrition work, and other work required to operate a school facility; laundry work; elections work; </w:t>
      </w:r>
      <w:r w:rsidR="00E2495A" w:rsidRPr="00B8336D">
        <w:rPr>
          <w:rFonts w:ascii="Arial" w:eastAsia="Times New Roman" w:hAnsi="Arial" w:cs="Arial"/>
          <w:color w:val="212121"/>
          <w:sz w:val="24"/>
          <w:szCs w:val="24"/>
        </w:rPr>
        <w:lastRenderedPageBreak/>
        <w:t>solid waste or hazardous materials management, response, and cleanup work; work requiring physical interaction with patients; dental care work; transportation and warehousing; work at hotel and commercial lodging facilities that are used for COVID–19 mitigation and containment; work in a mortuary; work in critical clinical research, development, and testing necessary for COVID–19 response.</w:t>
      </w:r>
    </w:p>
    <w:p w14:paraId="57F8B81F" w14:textId="77777777" w:rsidR="00E2495A" w:rsidRPr="00B8336D" w:rsidRDefault="00E2495A" w:rsidP="00E2495A">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 xml:space="preserve">(1) With respect to a recipient that is a metropolitan city, </w:t>
      </w:r>
      <w:proofErr w:type="spellStart"/>
      <w:r w:rsidRPr="00B8336D">
        <w:rPr>
          <w:rFonts w:ascii="Arial" w:eastAsia="Times New Roman" w:hAnsi="Arial" w:cs="Arial"/>
          <w:color w:val="212121"/>
          <w:sz w:val="24"/>
          <w:szCs w:val="24"/>
        </w:rPr>
        <w:t>nonentitlement</w:t>
      </w:r>
      <w:proofErr w:type="spellEnd"/>
      <w:r w:rsidRPr="00B8336D">
        <w:rPr>
          <w:rFonts w:ascii="Arial" w:eastAsia="Times New Roman" w:hAnsi="Arial" w:cs="Arial"/>
          <w:color w:val="212121"/>
          <w:sz w:val="24"/>
          <w:szCs w:val="24"/>
        </w:rPr>
        <w:t xml:space="preserve"> unit of local government, or county, workers in any additional sectors as each chief executive officer of such recipient may designate as critical to protect the health and well-being of the residents of their metropolitan city, </w:t>
      </w:r>
      <w:proofErr w:type="spellStart"/>
      <w:r w:rsidRPr="00B8336D">
        <w:rPr>
          <w:rFonts w:ascii="Arial" w:eastAsia="Times New Roman" w:hAnsi="Arial" w:cs="Arial"/>
          <w:color w:val="212121"/>
          <w:sz w:val="24"/>
          <w:szCs w:val="24"/>
        </w:rPr>
        <w:t>nonentitlement</w:t>
      </w:r>
      <w:proofErr w:type="spellEnd"/>
      <w:r w:rsidRPr="00B8336D">
        <w:rPr>
          <w:rFonts w:ascii="Arial" w:eastAsia="Times New Roman" w:hAnsi="Arial" w:cs="Arial"/>
          <w:color w:val="212121"/>
          <w:sz w:val="24"/>
          <w:szCs w:val="24"/>
        </w:rPr>
        <w:t xml:space="preserve"> unit of local government, or county; or</w:t>
      </w:r>
    </w:p>
    <w:p w14:paraId="7BBC5ED1" w14:textId="16807A75" w:rsidR="00E2495A" w:rsidRPr="00B8336D" w:rsidRDefault="00E2495A" w:rsidP="00E2495A">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(2) With respect to a State, Territory, or Tribal government, workers in any additional sectors as each Governor of a State or Territory, or each Tribal government, may designate as critical to protect the health and well-being of the residents of their State, Territory, or Tribal government.</w:t>
      </w:r>
      <w:r w:rsidR="0086008F" w:rsidRPr="00B8336D">
        <w:rPr>
          <w:rFonts w:ascii="Arial" w:eastAsia="Times New Roman" w:hAnsi="Arial" w:cs="Arial"/>
          <w:color w:val="212121"/>
          <w:sz w:val="24"/>
          <w:szCs w:val="24"/>
        </w:rPr>
        <w:t xml:space="preserve"> 31 C.F.R. § 35.3.</w:t>
      </w:r>
    </w:p>
    <w:p w14:paraId="7217C92F" w14:textId="75467C1B" w:rsidR="00BB55FF" w:rsidRPr="00B8336D" w:rsidRDefault="00BB55FF" w:rsidP="005D1BC5">
      <w:pPr>
        <w:spacing w:after="0" w:line="240" w:lineRule="auto"/>
        <w:rPr>
          <w:rFonts w:ascii="Arial" w:hAnsi="Arial" w:cs="Arial"/>
          <w:sz w:val="24"/>
          <w:szCs w:val="24"/>
        </w:rPr>
      </w:pPr>
    </w:p>
    <w:p w14:paraId="2C141F35" w14:textId="4FBA159B" w:rsidR="00072A6C" w:rsidRPr="00B8336D" w:rsidRDefault="00072A6C" w:rsidP="005D1BC5">
      <w:pPr>
        <w:spacing w:after="0" w:line="240" w:lineRule="auto"/>
        <w:rPr>
          <w:rFonts w:ascii="Arial" w:hAnsi="Arial" w:cs="Arial"/>
          <w:b/>
          <w:bCs/>
          <w:sz w:val="24"/>
          <w:szCs w:val="24"/>
        </w:rPr>
      </w:pPr>
      <w:r w:rsidRPr="00B8336D">
        <w:rPr>
          <w:rFonts w:ascii="Arial" w:hAnsi="Arial" w:cs="Arial"/>
          <w:b/>
          <w:bCs/>
          <w:sz w:val="24"/>
          <w:szCs w:val="24"/>
        </w:rPr>
        <w:t>What is essential work?</w:t>
      </w:r>
    </w:p>
    <w:p w14:paraId="30DBA99C" w14:textId="77777777" w:rsidR="005D1BC5" w:rsidRPr="00B8336D" w:rsidRDefault="005D1BC5" w:rsidP="005D1BC5">
      <w:pPr>
        <w:spacing w:after="0" w:line="240" w:lineRule="auto"/>
        <w:rPr>
          <w:rFonts w:ascii="Arial" w:hAnsi="Arial" w:cs="Arial"/>
          <w:b/>
          <w:bCs/>
          <w:sz w:val="24"/>
          <w:szCs w:val="24"/>
        </w:rPr>
      </w:pPr>
    </w:p>
    <w:p w14:paraId="40F4A819" w14:textId="47639892" w:rsidR="00072A6C" w:rsidRPr="00B8336D" w:rsidRDefault="00072A6C" w:rsidP="00072A6C">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“Essential work” means work that:</w:t>
      </w:r>
    </w:p>
    <w:p w14:paraId="04E1A2A6" w14:textId="77777777" w:rsidR="00072A6C" w:rsidRPr="00B8336D" w:rsidRDefault="00072A6C" w:rsidP="00072A6C">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(1) Is not performed while teleworking from a residence; and</w:t>
      </w:r>
    </w:p>
    <w:p w14:paraId="5F296C6E" w14:textId="77777777" w:rsidR="00072A6C" w:rsidRPr="00B8336D" w:rsidRDefault="00072A6C" w:rsidP="00072A6C">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(2) Involves:</w:t>
      </w:r>
    </w:p>
    <w:p w14:paraId="5331A5A8" w14:textId="77777777" w:rsidR="00072A6C" w:rsidRPr="00B8336D" w:rsidRDefault="00072A6C" w:rsidP="00072A6C">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w:t>
      </w:r>
      <w:proofErr w:type="spellStart"/>
      <w:r w:rsidRPr="00B8336D">
        <w:rPr>
          <w:rFonts w:ascii="Arial" w:eastAsia="Times New Roman" w:hAnsi="Arial" w:cs="Arial"/>
          <w:color w:val="212121"/>
          <w:sz w:val="24"/>
          <w:szCs w:val="24"/>
        </w:rPr>
        <w:t>i</w:t>
      </w:r>
      <w:proofErr w:type="spellEnd"/>
      <w:r w:rsidRPr="00B8336D">
        <w:rPr>
          <w:rFonts w:ascii="Arial" w:eastAsia="Times New Roman" w:hAnsi="Arial" w:cs="Arial"/>
          <w:color w:val="212121"/>
          <w:sz w:val="24"/>
          <w:szCs w:val="24"/>
        </w:rPr>
        <w:t>) Regular in-person interactions with patients, the public, or coworkers of the individual that is performing the work; or</w:t>
      </w:r>
    </w:p>
    <w:p w14:paraId="32ACF4E0" w14:textId="7C3986AF" w:rsidR="00072A6C" w:rsidRPr="00B8336D" w:rsidRDefault="00072A6C" w:rsidP="00072A6C">
      <w:pPr>
        <w:spacing w:after="0" w:line="240" w:lineRule="auto"/>
        <w:rPr>
          <w:rFonts w:ascii="Arial" w:eastAsia="Times New Roman" w:hAnsi="Arial" w:cs="Arial"/>
          <w:color w:val="212121"/>
          <w:sz w:val="24"/>
          <w:szCs w:val="24"/>
        </w:rPr>
      </w:pPr>
      <w:r w:rsidRPr="00B8336D">
        <w:rPr>
          <w:rFonts w:ascii="Arial" w:eastAsia="Times New Roman" w:hAnsi="Arial" w:cs="Arial"/>
          <w:color w:val="212121"/>
          <w:sz w:val="24"/>
          <w:szCs w:val="24"/>
        </w:rPr>
        <w:t>(ii) Regular physical handling of items that were handled by, or are to be handled by patients, the public, or coworkers of the individual that is performing the work.</w:t>
      </w:r>
      <w:r w:rsidR="00537472" w:rsidRPr="00B8336D">
        <w:rPr>
          <w:rFonts w:ascii="Arial" w:eastAsia="Times New Roman" w:hAnsi="Arial" w:cs="Arial"/>
          <w:color w:val="212121"/>
          <w:sz w:val="24"/>
          <w:szCs w:val="24"/>
        </w:rPr>
        <w:t xml:space="preserve"> 31 C.F.R. § 35.3.</w:t>
      </w:r>
    </w:p>
    <w:p w14:paraId="5724E23A" w14:textId="2A8C49EE" w:rsidR="00570B3C" w:rsidRPr="00B8336D" w:rsidRDefault="00570B3C" w:rsidP="00570B3C">
      <w:pPr>
        <w:spacing w:after="0" w:line="240" w:lineRule="auto"/>
        <w:rPr>
          <w:rFonts w:ascii="Arial" w:hAnsi="Arial" w:cs="Arial"/>
          <w:b/>
          <w:bCs/>
          <w:sz w:val="24"/>
          <w:szCs w:val="24"/>
        </w:rPr>
      </w:pPr>
    </w:p>
    <w:p w14:paraId="627AEEEC" w14:textId="1E56E484" w:rsidR="0045768C" w:rsidRPr="00B8336D" w:rsidRDefault="0045768C" w:rsidP="00570B3C">
      <w:pPr>
        <w:spacing w:after="0" w:line="240" w:lineRule="auto"/>
        <w:rPr>
          <w:rFonts w:ascii="Arial" w:hAnsi="Arial" w:cs="Arial"/>
          <w:b/>
          <w:bCs/>
          <w:sz w:val="24"/>
          <w:szCs w:val="24"/>
        </w:rPr>
      </w:pPr>
      <w:r w:rsidRPr="00B8336D">
        <w:rPr>
          <w:rFonts w:ascii="Arial" w:hAnsi="Arial" w:cs="Arial"/>
          <w:b/>
          <w:bCs/>
          <w:sz w:val="24"/>
          <w:szCs w:val="24"/>
        </w:rPr>
        <w:t>Can the chief executive officer of a city designate additional critical infrastructure sectors?</w:t>
      </w:r>
    </w:p>
    <w:p w14:paraId="4C72D666" w14:textId="77777777" w:rsidR="0045768C" w:rsidRPr="00B8336D" w:rsidRDefault="0045768C" w:rsidP="00570B3C">
      <w:pPr>
        <w:spacing w:after="0" w:line="240" w:lineRule="auto"/>
        <w:rPr>
          <w:rFonts w:ascii="Arial" w:hAnsi="Arial" w:cs="Arial"/>
          <w:b/>
          <w:bCs/>
          <w:sz w:val="24"/>
          <w:szCs w:val="24"/>
        </w:rPr>
      </w:pPr>
    </w:p>
    <w:p w14:paraId="62FCFE35" w14:textId="3E57F2B0" w:rsidR="0045768C" w:rsidRPr="00B8336D" w:rsidRDefault="0045768C" w:rsidP="00570B3C">
      <w:pPr>
        <w:spacing w:after="0" w:line="240" w:lineRule="auto"/>
        <w:rPr>
          <w:rFonts w:ascii="Arial" w:eastAsia="Times New Roman" w:hAnsi="Arial" w:cs="Arial"/>
          <w:color w:val="212121"/>
          <w:sz w:val="24"/>
          <w:szCs w:val="24"/>
        </w:rPr>
      </w:pPr>
      <w:r w:rsidRPr="00B8336D">
        <w:rPr>
          <w:rFonts w:ascii="Arial" w:hAnsi="Arial" w:cs="Arial"/>
          <w:sz w:val="24"/>
          <w:szCs w:val="24"/>
        </w:rPr>
        <w:t>Yes, the chief executive officer of a city can designate additional sectors to those listed in the Interim Final Rule provided the additional sectors are considered critical to health and well-being of its residents.</w:t>
      </w:r>
      <w:r w:rsidRPr="00B8336D">
        <w:rPr>
          <w:rFonts w:ascii="Arial" w:hAnsi="Arial" w:cs="Arial"/>
          <w:b/>
          <w:bCs/>
          <w:sz w:val="24"/>
          <w:szCs w:val="24"/>
        </w:rPr>
        <w:t xml:space="preserve"> </w:t>
      </w:r>
      <w:r w:rsidR="00A0785C" w:rsidRPr="00B8336D">
        <w:rPr>
          <w:rFonts w:ascii="Arial" w:eastAsia="Times New Roman" w:hAnsi="Arial" w:cs="Arial"/>
          <w:color w:val="212121"/>
          <w:sz w:val="24"/>
          <w:szCs w:val="24"/>
        </w:rPr>
        <w:t>31 C.F.R. § 35.3.</w:t>
      </w:r>
    </w:p>
    <w:p w14:paraId="4F0620A1" w14:textId="391EABDC" w:rsidR="00070105" w:rsidRPr="00B8336D" w:rsidRDefault="00070105" w:rsidP="00570B3C">
      <w:pPr>
        <w:spacing w:after="0" w:line="240" w:lineRule="auto"/>
        <w:rPr>
          <w:rFonts w:ascii="Arial" w:eastAsia="Times New Roman" w:hAnsi="Arial" w:cs="Arial"/>
          <w:color w:val="212121"/>
          <w:sz w:val="24"/>
          <w:szCs w:val="24"/>
        </w:rPr>
      </w:pPr>
    </w:p>
    <w:p w14:paraId="68B3FBEC" w14:textId="630EC683" w:rsidR="00070105" w:rsidRPr="00B8336D" w:rsidRDefault="00070105" w:rsidP="00570B3C">
      <w:pPr>
        <w:spacing w:after="0" w:line="240" w:lineRule="auto"/>
        <w:rPr>
          <w:rFonts w:ascii="Arial" w:hAnsi="Arial" w:cs="Arial"/>
          <w:b/>
          <w:bCs/>
          <w:sz w:val="24"/>
          <w:szCs w:val="24"/>
        </w:rPr>
      </w:pPr>
      <w:r w:rsidRPr="00B8336D">
        <w:rPr>
          <w:rFonts w:ascii="Arial" w:eastAsia="Times New Roman" w:hAnsi="Arial" w:cs="Arial"/>
          <w:b/>
          <w:bCs/>
          <w:color w:val="212121"/>
          <w:sz w:val="24"/>
          <w:szCs w:val="24"/>
        </w:rPr>
        <w:t>Can an eligible worker receive both retrospective and prospective premium pay?</w:t>
      </w:r>
    </w:p>
    <w:p w14:paraId="0F1C7B84" w14:textId="22E73A5B" w:rsidR="0045768C" w:rsidRPr="00B8336D" w:rsidRDefault="00070105" w:rsidP="00570B3C">
      <w:pPr>
        <w:spacing w:after="0" w:line="240" w:lineRule="auto"/>
        <w:rPr>
          <w:rFonts w:ascii="Arial" w:hAnsi="Arial" w:cs="Arial"/>
          <w:b/>
          <w:bCs/>
          <w:sz w:val="24"/>
          <w:szCs w:val="24"/>
        </w:rPr>
      </w:pPr>
      <w:r w:rsidRPr="00B8336D">
        <w:rPr>
          <w:rFonts w:ascii="Arial" w:hAnsi="Arial" w:cs="Arial"/>
          <w:b/>
          <w:bCs/>
          <w:sz w:val="24"/>
          <w:szCs w:val="24"/>
        </w:rPr>
        <w:t xml:space="preserve"> </w:t>
      </w:r>
    </w:p>
    <w:p w14:paraId="1BB673C7" w14:textId="5EDB42CB" w:rsidR="00070105" w:rsidRDefault="00070105" w:rsidP="00570B3C">
      <w:pPr>
        <w:spacing w:after="0" w:line="240" w:lineRule="auto"/>
        <w:rPr>
          <w:rFonts w:ascii="Arial" w:hAnsi="Arial" w:cs="Arial"/>
          <w:sz w:val="24"/>
          <w:szCs w:val="24"/>
        </w:rPr>
      </w:pPr>
      <w:r w:rsidRPr="00B8336D">
        <w:rPr>
          <w:rFonts w:ascii="Arial" w:hAnsi="Arial" w:cs="Arial"/>
          <w:sz w:val="24"/>
          <w:szCs w:val="24"/>
        </w:rPr>
        <w:t>Yes</w:t>
      </w:r>
      <w:r w:rsidR="00EA6CEC" w:rsidRPr="00B8336D">
        <w:rPr>
          <w:rFonts w:ascii="Arial" w:hAnsi="Arial" w:cs="Arial"/>
          <w:sz w:val="24"/>
          <w:szCs w:val="24"/>
        </w:rPr>
        <w:t>,</w:t>
      </w:r>
      <w:r w:rsidR="00FE2AC0" w:rsidRPr="00B8336D">
        <w:rPr>
          <w:rFonts w:ascii="Arial" w:hAnsi="Arial" w:cs="Arial"/>
          <w:sz w:val="24"/>
          <w:szCs w:val="24"/>
        </w:rPr>
        <w:t xml:space="preserve"> an eligible worker </w:t>
      </w:r>
      <w:r w:rsidR="00EA6CEC" w:rsidRPr="00B8336D">
        <w:rPr>
          <w:rFonts w:ascii="Arial" w:hAnsi="Arial" w:cs="Arial"/>
          <w:sz w:val="24"/>
          <w:szCs w:val="24"/>
        </w:rPr>
        <w:t>may receive both retrospective premium pay for prior work as well as prospective premium pay for current work</w:t>
      </w:r>
      <w:r w:rsidRPr="00B8336D">
        <w:rPr>
          <w:rFonts w:ascii="Arial" w:hAnsi="Arial" w:cs="Arial"/>
          <w:sz w:val="24"/>
          <w:szCs w:val="24"/>
        </w:rPr>
        <w:t>, but it is important to keep in mind that there is an aggregate cap of $25,000 per eligible worker.</w:t>
      </w:r>
    </w:p>
    <w:p w14:paraId="1C9E4DC0" w14:textId="77777777" w:rsidR="00725E6A" w:rsidRPr="00B8336D" w:rsidRDefault="00725E6A" w:rsidP="00570B3C">
      <w:pPr>
        <w:spacing w:after="0" w:line="240" w:lineRule="auto"/>
        <w:rPr>
          <w:rFonts w:ascii="Arial" w:hAnsi="Arial" w:cs="Arial"/>
          <w:sz w:val="24"/>
          <w:szCs w:val="24"/>
        </w:rPr>
      </w:pPr>
    </w:p>
    <w:p w14:paraId="68A33978" w14:textId="67F91993" w:rsidR="0029374B" w:rsidRPr="00B8336D" w:rsidRDefault="00072A6C">
      <w:pPr>
        <w:rPr>
          <w:rFonts w:ascii="Arial" w:hAnsi="Arial" w:cs="Arial"/>
          <w:b/>
          <w:bCs/>
          <w:sz w:val="24"/>
          <w:szCs w:val="24"/>
        </w:rPr>
      </w:pPr>
      <w:r w:rsidRPr="00B8336D">
        <w:rPr>
          <w:rFonts w:ascii="Arial" w:hAnsi="Arial" w:cs="Arial"/>
          <w:b/>
          <w:bCs/>
          <w:sz w:val="24"/>
          <w:szCs w:val="24"/>
        </w:rPr>
        <w:t xml:space="preserve">Would </w:t>
      </w:r>
      <w:r w:rsidR="00E71FC6">
        <w:rPr>
          <w:rFonts w:ascii="Arial" w:hAnsi="Arial" w:cs="Arial"/>
          <w:b/>
          <w:bCs/>
          <w:sz w:val="24"/>
          <w:szCs w:val="24"/>
        </w:rPr>
        <w:t>Federal Insurance Contributions Act (“</w:t>
      </w:r>
      <w:r w:rsidR="00570B3C" w:rsidRPr="00B8336D">
        <w:rPr>
          <w:rFonts w:ascii="Arial" w:hAnsi="Arial" w:cs="Arial"/>
          <w:b/>
          <w:bCs/>
          <w:sz w:val="24"/>
          <w:szCs w:val="24"/>
        </w:rPr>
        <w:t>FICA</w:t>
      </w:r>
      <w:r w:rsidR="00E71FC6">
        <w:rPr>
          <w:rFonts w:ascii="Arial" w:hAnsi="Arial" w:cs="Arial"/>
          <w:b/>
          <w:bCs/>
          <w:sz w:val="24"/>
          <w:szCs w:val="24"/>
        </w:rPr>
        <w:t>”)</w:t>
      </w:r>
      <w:r w:rsidR="00673496" w:rsidRPr="00B8336D">
        <w:rPr>
          <w:rFonts w:ascii="Arial" w:hAnsi="Arial" w:cs="Arial"/>
          <w:b/>
          <w:bCs/>
          <w:sz w:val="24"/>
          <w:szCs w:val="24"/>
        </w:rPr>
        <w:t xml:space="preserve"> taxes</w:t>
      </w:r>
      <w:r w:rsidRPr="00B8336D">
        <w:rPr>
          <w:rFonts w:ascii="Arial" w:hAnsi="Arial" w:cs="Arial"/>
          <w:b/>
          <w:bCs/>
          <w:sz w:val="24"/>
          <w:szCs w:val="24"/>
        </w:rPr>
        <w:t xml:space="preserve"> paid</w:t>
      </w:r>
      <w:r w:rsidR="00673496" w:rsidRPr="00B8336D">
        <w:rPr>
          <w:rFonts w:ascii="Arial" w:hAnsi="Arial" w:cs="Arial"/>
          <w:b/>
          <w:bCs/>
          <w:sz w:val="24"/>
          <w:szCs w:val="24"/>
        </w:rPr>
        <w:t xml:space="preserve"> by an employer</w:t>
      </w:r>
      <w:r w:rsidRPr="00B8336D">
        <w:rPr>
          <w:rFonts w:ascii="Arial" w:hAnsi="Arial" w:cs="Arial"/>
          <w:b/>
          <w:bCs/>
          <w:sz w:val="24"/>
          <w:szCs w:val="24"/>
        </w:rPr>
        <w:t xml:space="preserve"> in relation to premium pay</w:t>
      </w:r>
      <w:r w:rsidR="00153FA8" w:rsidRPr="00B8336D">
        <w:rPr>
          <w:rFonts w:ascii="Arial" w:hAnsi="Arial" w:cs="Arial"/>
          <w:b/>
          <w:bCs/>
          <w:sz w:val="24"/>
          <w:szCs w:val="24"/>
        </w:rPr>
        <w:t xml:space="preserve"> be</w:t>
      </w:r>
      <w:r w:rsidRPr="00B8336D">
        <w:rPr>
          <w:rFonts w:ascii="Arial" w:hAnsi="Arial" w:cs="Arial"/>
          <w:b/>
          <w:bCs/>
          <w:sz w:val="24"/>
          <w:szCs w:val="24"/>
        </w:rPr>
        <w:t xml:space="preserve"> an eligible use of FRF funds?</w:t>
      </w:r>
    </w:p>
    <w:p w14:paraId="45C08EDE" w14:textId="7C28D1FA" w:rsidR="00C605EA" w:rsidRPr="00B8336D" w:rsidRDefault="00047924">
      <w:pPr>
        <w:rPr>
          <w:rFonts w:ascii="Arial" w:hAnsi="Arial" w:cs="Arial"/>
          <w:sz w:val="24"/>
          <w:szCs w:val="24"/>
        </w:rPr>
      </w:pPr>
      <w:r w:rsidRPr="00B8336D">
        <w:rPr>
          <w:rFonts w:ascii="Arial" w:hAnsi="Arial" w:cs="Arial"/>
          <w:sz w:val="24"/>
          <w:szCs w:val="24"/>
        </w:rPr>
        <w:t>I</w:t>
      </w:r>
      <w:r w:rsidR="00AD14BF" w:rsidRPr="00B8336D">
        <w:rPr>
          <w:rFonts w:ascii="Arial" w:hAnsi="Arial" w:cs="Arial"/>
          <w:sz w:val="24"/>
          <w:szCs w:val="24"/>
        </w:rPr>
        <w:t>f an employee’s wage and salaries are an eligible use of FRF, recipients may treat the employee’s covered benefits as an eligible use of FRF</w:t>
      </w:r>
      <w:r w:rsidR="00D74507" w:rsidRPr="00B8336D">
        <w:rPr>
          <w:rFonts w:ascii="Arial" w:hAnsi="Arial" w:cs="Arial"/>
          <w:sz w:val="24"/>
          <w:szCs w:val="24"/>
        </w:rPr>
        <w:t xml:space="preserve">. For purposes of the FRF, covered benefits include costs of all types of leave (vacation, family-related, sick, military, bereavement, sabbatical, jury duty), employee insurance (health, life, dental, </w:t>
      </w:r>
      <w:r w:rsidR="00D74507" w:rsidRPr="00B8336D">
        <w:rPr>
          <w:rFonts w:ascii="Arial" w:hAnsi="Arial" w:cs="Arial"/>
          <w:sz w:val="24"/>
          <w:szCs w:val="24"/>
        </w:rPr>
        <w:lastRenderedPageBreak/>
        <w:t xml:space="preserve">vision), retirement (pensions, 401(k)), unemployment benefit plans (federal and state), workers compensation insurance, and Federal Insurance Contributions Act (FICA) taxes (which includes Social Security and Medicare taxes). </w:t>
      </w:r>
    </w:p>
    <w:p w14:paraId="4DC725F6" w14:textId="7E734E77" w:rsidR="00072A6C" w:rsidRPr="00B8336D" w:rsidRDefault="00072A6C">
      <w:pPr>
        <w:rPr>
          <w:rFonts w:ascii="Arial" w:hAnsi="Arial" w:cs="Arial"/>
          <w:b/>
          <w:bCs/>
          <w:sz w:val="24"/>
          <w:szCs w:val="24"/>
        </w:rPr>
      </w:pPr>
      <w:r w:rsidRPr="00B8336D">
        <w:rPr>
          <w:rFonts w:ascii="Arial" w:hAnsi="Arial" w:cs="Arial"/>
          <w:b/>
          <w:bCs/>
          <w:sz w:val="24"/>
          <w:szCs w:val="24"/>
        </w:rPr>
        <w:t xml:space="preserve">Can FRF funds be used to pay </w:t>
      </w:r>
      <w:r w:rsidR="000F2DF5" w:rsidRPr="00B8336D">
        <w:rPr>
          <w:rFonts w:ascii="Arial" w:hAnsi="Arial" w:cs="Arial"/>
          <w:b/>
          <w:bCs/>
          <w:sz w:val="24"/>
          <w:szCs w:val="24"/>
        </w:rPr>
        <w:t>covered</w:t>
      </w:r>
      <w:r w:rsidRPr="00B8336D">
        <w:rPr>
          <w:rFonts w:ascii="Arial" w:hAnsi="Arial" w:cs="Arial"/>
          <w:b/>
          <w:bCs/>
          <w:sz w:val="24"/>
          <w:szCs w:val="24"/>
        </w:rPr>
        <w:t xml:space="preserve"> benefits </w:t>
      </w:r>
      <w:r w:rsidR="00153FA8" w:rsidRPr="00B8336D">
        <w:rPr>
          <w:rFonts w:ascii="Arial" w:hAnsi="Arial" w:cs="Arial"/>
          <w:b/>
          <w:bCs/>
          <w:sz w:val="24"/>
          <w:szCs w:val="24"/>
        </w:rPr>
        <w:t xml:space="preserve">costs </w:t>
      </w:r>
      <w:r w:rsidRPr="00B8336D">
        <w:rPr>
          <w:rFonts w:ascii="Arial" w:hAnsi="Arial" w:cs="Arial"/>
          <w:b/>
          <w:bCs/>
          <w:sz w:val="24"/>
          <w:szCs w:val="24"/>
        </w:rPr>
        <w:t xml:space="preserve">related to premium pay? </w:t>
      </w:r>
    </w:p>
    <w:p w14:paraId="215E9399" w14:textId="036576CB" w:rsidR="0041089D" w:rsidRPr="00B8336D" w:rsidRDefault="00305318">
      <w:pPr>
        <w:rPr>
          <w:rFonts w:ascii="Arial" w:hAnsi="Arial" w:cs="Arial"/>
          <w:sz w:val="24"/>
          <w:szCs w:val="24"/>
        </w:rPr>
      </w:pPr>
      <w:r w:rsidRPr="00B8336D">
        <w:rPr>
          <w:rFonts w:ascii="Arial" w:hAnsi="Arial" w:cs="Arial"/>
          <w:sz w:val="24"/>
          <w:szCs w:val="24"/>
        </w:rPr>
        <w:t>I</w:t>
      </w:r>
      <w:r w:rsidR="00417964" w:rsidRPr="00B8336D">
        <w:rPr>
          <w:rFonts w:ascii="Arial" w:hAnsi="Arial" w:cs="Arial"/>
          <w:sz w:val="24"/>
          <w:szCs w:val="24"/>
        </w:rPr>
        <w:t>f an employee’s wage and salaries are an eligible use of FRF, recipients may treat the employee’s covered benefits as an eligible use of FRF. For purposes of the FRF, covered benefits include costs of all types of leave (vacation, family-related, sick, military, bereavement, sabbatical, jury duty), employee insurance (health, life, dental, vision), retirement (pensions, 401(k)), unemployment benefit plans (federal and state), workers compensation insurance, and Federal Insurance Contributions Act (FICA) taxes (which includes Social Security and Medicare taxes).</w:t>
      </w:r>
      <w:r w:rsidR="0041089D" w:rsidRPr="00B8336D">
        <w:rPr>
          <w:rFonts w:ascii="Arial" w:hAnsi="Arial" w:cs="Arial"/>
          <w:sz w:val="24"/>
          <w:szCs w:val="24"/>
        </w:rPr>
        <w:t xml:space="preserve"> </w:t>
      </w:r>
    </w:p>
    <w:p w14:paraId="5B11B4B5" w14:textId="4DE67159" w:rsidR="00ED62A0" w:rsidRPr="00B8336D" w:rsidRDefault="00ED62A0">
      <w:pPr>
        <w:rPr>
          <w:rFonts w:ascii="Arial" w:hAnsi="Arial" w:cs="Arial"/>
          <w:b/>
          <w:bCs/>
          <w:sz w:val="24"/>
          <w:szCs w:val="24"/>
        </w:rPr>
      </w:pPr>
      <w:r w:rsidRPr="00B8336D">
        <w:rPr>
          <w:rFonts w:ascii="Arial" w:hAnsi="Arial" w:cs="Arial"/>
          <w:b/>
          <w:bCs/>
          <w:sz w:val="24"/>
          <w:szCs w:val="24"/>
        </w:rPr>
        <w:t xml:space="preserve">For what </w:t>
      </w:r>
      <w:proofErr w:type="gramStart"/>
      <w:r w:rsidRPr="00B8336D">
        <w:rPr>
          <w:rFonts w:ascii="Arial" w:hAnsi="Arial" w:cs="Arial"/>
          <w:b/>
          <w:bCs/>
          <w:sz w:val="24"/>
          <w:szCs w:val="24"/>
        </w:rPr>
        <w:t>period of time</w:t>
      </w:r>
      <w:proofErr w:type="gramEnd"/>
      <w:r w:rsidRPr="00B8336D">
        <w:rPr>
          <w:rFonts w:ascii="Arial" w:hAnsi="Arial" w:cs="Arial"/>
          <w:b/>
          <w:bCs/>
          <w:sz w:val="24"/>
          <w:szCs w:val="24"/>
        </w:rPr>
        <w:t xml:space="preserve"> may premium pay be provided?</w:t>
      </w:r>
    </w:p>
    <w:p w14:paraId="1C973335" w14:textId="6E1F1018" w:rsidR="00ED62A0" w:rsidRPr="00B8336D" w:rsidRDefault="00D83D66">
      <w:pPr>
        <w:rPr>
          <w:rFonts w:ascii="Arial" w:hAnsi="Arial" w:cs="Arial"/>
          <w:sz w:val="24"/>
          <w:szCs w:val="24"/>
        </w:rPr>
      </w:pPr>
      <w:r w:rsidRPr="00B8336D">
        <w:rPr>
          <w:rFonts w:ascii="Arial" w:hAnsi="Arial" w:cs="Arial"/>
          <w:sz w:val="24"/>
          <w:szCs w:val="24"/>
        </w:rPr>
        <w:t>Premium pay may be provided for work performed at any time since the start of the COVID-19 public health emergency (January 27, 2020).</w:t>
      </w:r>
      <w:r w:rsidR="00261E8E">
        <w:rPr>
          <w:rStyle w:val="FootnoteReference"/>
          <w:rFonts w:ascii="Arial" w:hAnsi="Arial" w:cs="Arial"/>
          <w:sz w:val="24"/>
          <w:szCs w:val="24"/>
        </w:rPr>
        <w:footnoteReference w:id="2"/>
      </w:r>
      <w:r w:rsidRPr="00B8336D">
        <w:rPr>
          <w:rFonts w:ascii="Arial" w:hAnsi="Arial" w:cs="Arial"/>
          <w:sz w:val="24"/>
          <w:szCs w:val="24"/>
        </w:rPr>
        <w:t xml:space="preserve"> Premium pay may be provided retroactively for eligible workers who have yet to be adequately compensated for previously performed work. </w:t>
      </w:r>
    </w:p>
    <w:p w14:paraId="745D991D" w14:textId="54A09632" w:rsidR="00B11869" w:rsidRPr="00B8336D" w:rsidRDefault="002A6909">
      <w:pPr>
        <w:rPr>
          <w:rFonts w:ascii="Arial" w:hAnsi="Arial" w:cs="Arial"/>
          <w:b/>
          <w:bCs/>
          <w:sz w:val="24"/>
          <w:szCs w:val="24"/>
        </w:rPr>
      </w:pPr>
      <w:r w:rsidRPr="00B8336D">
        <w:rPr>
          <w:rFonts w:ascii="Arial" w:hAnsi="Arial" w:cs="Arial"/>
          <w:b/>
          <w:bCs/>
          <w:sz w:val="24"/>
          <w:szCs w:val="24"/>
        </w:rPr>
        <w:t>What type of supporting documentation is required for premium pay?</w:t>
      </w:r>
    </w:p>
    <w:p w14:paraId="2FAEDEC5" w14:textId="5777171B" w:rsidR="004D3D08" w:rsidRPr="00B8336D" w:rsidRDefault="00BE0904">
      <w:pPr>
        <w:rPr>
          <w:rFonts w:ascii="Arial" w:hAnsi="Arial" w:cs="Arial"/>
          <w:sz w:val="24"/>
          <w:szCs w:val="24"/>
        </w:rPr>
      </w:pPr>
      <w:r w:rsidRPr="00B8336D">
        <w:rPr>
          <w:rFonts w:ascii="Arial" w:hAnsi="Arial" w:cs="Arial"/>
          <w:sz w:val="24"/>
          <w:szCs w:val="24"/>
        </w:rPr>
        <w:t>If premium pay would increase an eligible “worker’s total pay above 150 percent of their residing state’s average annual wage for all occupations or their residing county’s average annual wage, as defined by the Bureau of Labor Statistics’ Occupational Employment and Wage Statistics, whichever is higher, on an annual basis,” then the local government must provide written justification of how the premium pay or grant is responsive to workers performing essential work.</w:t>
      </w:r>
      <w:r w:rsidR="000B0B9F" w:rsidRPr="00B8336D">
        <w:rPr>
          <w:rFonts w:ascii="Arial" w:hAnsi="Arial" w:cs="Arial"/>
          <w:sz w:val="24"/>
          <w:szCs w:val="24"/>
        </w:rPr>
        <w:t xml:space="preserve"> Because Treasury encourages recipients to prioritize compensation for lower income eligible workers</w:t>
      </w:r>
      <w:r w:rsidR="00676944" w:rsidRPr="00B8336D">
        <w:rPr>
          <w:rFonts w:ascii="Arial" w:hAnsi="Arial" w:cs="Arial"/>
          <w:sz w:val="24"/>
          <w:szCs w:val="24"/>
        </w:rPr>
        <w:t xml:space="preserve"> that perform essential work</w:t>
      </w:r>
      <w:r w:rsidR="000B0B9F" w:rsidRPr="00B8336D">
        <w:rPr>
          <w:rFonts w:ascii="Arial" w:hAnsi="Arial" w:cs="Arial"/>
          <w:sz w:val="24"/>
          <w:szCs w:val="24"/>
        </w:rPr>
        <w:t xml:space="preserve">, documentation of the method a recipient uses to determine which workers should be paid premium pay would appear to be a best practice. Treasury </w:t>
      </w:r>
      <w:r w:rsidR="0067722F" w:rsidRPr="00B8336D">
        <w:rPr>
          <w:rFonts w:ascii="Arial" w:hAnsi="Arial" w:cs="Arial"/>
          <w:sz w:val="24"/>
          <w:szCs w:val="24"/>
        </w:rPr>
        <w:t xml:space="preserve">also </w:t>
      </w:r>
      <w:r w:rsidR="000B0B9F" w:rsidRPr="00B8336D">
        <w:rPr>
          <w:rFonts w:ascii="Arial" w:hAnsi="Arial" w:cs="Arial"/>
          <w:sz w:val="24"/>
          <w:szCs w:val="24"/>
        </w:rPr>
        <w:t>encourages recipients</w:t>
      </w:r>
      <w:r w:rsidR="0067722F" w:rsidRPr="00B8336D">
        <w:rPr>
          <w:rFonts w:ascii="Arial" w:hAnsi="Arial" w:cs="Arial"/>
          <w:sz w:val="24"/>
          <w:szCs w:val="24"/>
        </w:rPr>
        <w:t xml:space="preserve"> to prioritize providing retrospective premium pay where possible. It would also be a best practice to document the method of determining which workers should be paid retrospective premium pay.</w:t>
      </w:r>
      <w:r w:rsidR="000B0B9F" w:rsidRPr="00B8336D">
        <w:rPr>
          <w:rFonts w:ascii="Arial" w:hAnsi="Arial" w:cs="Arial"/>
          <w:sz w:val="24"/>
          <w:szCs w:val="24"/>
        </w:rPr>
        <w:t xml:space="preserve"> </w:t>
      </w:r>
    </w:p>
    <w:p w14:paraId="0FE6AE9D" w14:textId="5AF56F73" w:rsidR="00144B63" w:rsidRPr="00E51CB7" w:rsidRDefault="00144B63" w:rsidP="00E51CB7">
      <w:pPr>
        <w:spacing w:after="0" w:line="240" w:lineRule="auto"/>
        <w:rPr>
          <w:b/>
          <w:bCs/>
        </w:rPr>
      </w:pPr>
      <w:r w:rsidRPr="00E51CB7">
        <w:rPr>
          <w:rFonts w:cstheme="minorHAnsi"/>
          <w:b/>
          <w:bCs/>
          <w:sz w:val="28"/>
          <w:szCs w:val="28"/>
        </w:rPr>
        <w:t xml:space="preserve">Remember the U.S. Treasury is always a good source of information. You can access Treasury’s Interim Final Rule (31 C.F.R. § 35) at: </w:t>
      </w:r>
      <w:hyperlink r:id="rId8" w:history="1">
        <w:r w:rsidRPr="00E51CB7">
          <w:rPr>
            <w:rStyle w:val="Hyperlink"/>
            <w:b/>
            <w:bCs/>
            <w:color w:val="4472C4" w:themeColor="accent1"/>
            <w:sz w:val="24"/>
            <w:szCs w:val="24"/>
          </w:rPr>
          <w:t>2021-10283.pdf (govinfo.gov)</w:t>
        </w:r>
      </w:hyperlink>
      <w:r w:rsidRPr="00E51CB7">
        <w:rPr>
          <w:b/>
          <w:bCs/>
        </w:rPr>
        <w:t xml:space="preserve">  </w:t>
      </w:r>
    </w:p>
    <w:p w14:paraId="775A670F" w14:textId="77777777" w:rsidR="00E51CB7" w:rsidRDefault="00E51CB7" w:rsidP="00144B63">
      <w:pPr>
        <w:rPr>
          <w:rStyle w:val="Hyperlink"/>
          <w:rFonts w:ascii="Arial" w:hAnsi="Arial" w:cs="Arial"/>
          <w:b/>
          <w:bCs/>
          <w:color w:val="auto"/>
          <w:sz w:val="24"/>
          <w:szCs w:val="24"/>
          <w:u w:val="none"/>
        </w:rPr>
      </w:pPr>
    </w:p>
    <w:p w14:paraId="54EDAFFF" w14:textId="45DAD641" w:rsidR="00144B63" w:rsidRPr="003E2471" w:rsidRDefault="00144B63" w:rsidP="00144B63">
      <w:pPr>
        <w:rPr>
          <w:rFonts w:ascii="Arial" w:hAnsi="Arial" w:cs="Arial"/>
          <w:color w:val="0000FF"/>
          <w:sz w:val="24"/>
          <w:szCs w:val="24"/>
        </w:rPr>
      </w:pPr>
      <w:r w:rsidRPr="00E51CB7">
        <w:rPr>
          <w:rStyle w:val="Hyperlink"/>
          <w:rFonts w:ascii="Arial" w:hAnsi="Arial" w:cs="Arial"/>
          <w:b/>
          <w:bCs/>
          <w:color w:val="auto"/>
          <w:sz w:val="24"/>
          <w:szCs w:val="24"/>
          <w:u w:val="none"/>
        </w:rPr>
        <w:t xml:space="preserve">If you have general questions about the Coronavirus State and Local Fiscal Recovery Funds, please email the U.S. Department of Treasury at </w:t>
      </w:r>
      <w:hyperlink r:id="rId9" w:history="1">
        <w:r w:rsidRPr="00E51CB7">
          <w:rPr>
            <w:rStyle w:val="Hyperlink"/>
            <w:rFonts w:ascii="Arial" w:hAnsi="Arial" w:cs="Arial"/>
            <w:b/>
            <w:bCs/>
            <w:color w:val="auto"/>
            <w:sz w:val="24"/>
            <w:szCs w:val="24"/>
            <w:u w:val="none"/>
          </w:rPr>
          <w:t>SLFRP@treasury.gov</w:t>
        </w:r>
      </w:hyperlink>
      <w:r w:rsidRPr="00E51CB7">
        <w:rPr>
          <w:rStyle w:val="Hyperlink"/>
          <w:rFonts w:ascii="Arial" w:hAnsi="Arial" w:cs="Arial"/>
          <w:b/>
          <w:bCs/>
          <w:color w:val="auto"/>
          <w:sz w:val="24"/>
          <w:szCs w:val="24"/>
          <w:u w:val="none"/>
        </w:rPr>
        <w:t xml:space="preserve"> or call 844-529-9527.</w:t>
      </w:r>
    </w:p>
    <w:p w14:paraId="12FF2B80" w14:textId="7533B0C7" w:rsidR="007E166E" w:rsidRPr="00ED62A0" w:rsidRDefault="00ED62A0">
      <w:pPr>
        <w:rPr>
          <w:rFonts w:ascii="Arial" w:hAnsi="Arial" w:cs="Arial"/>
          <w:b/>
          <w:bCs/>
          <w:sz w:val="24"/>
          <w:szCs w:val="24"/>
        </w:rPr>
      </w:pPr>
      <w:r>
        <w:rPr>
          <w:rFonts w:ascii="Arial" w:hAnsi="Arial" w:cs="Arial"/>
          <w:b/>
          <w:bCs/>
          <w:sz w:val="24"/>
          <w:szCs w:val="24"/>
        </w:rPr>
        <w:t xml:space="preserve"> </w:t>
      </w:r>
    </w:p>
    <w:sectPr w:rsidR="007E166E" w:rsidRPr="00ED62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0D03C" w14:textId="77777777" w:rsidR="00FD57AE" w:rsidRDefault="00FD57AE" w:rsidP="006F4943">
      <w:pPr>
        <w:spacing w:after="0" w:line="240" w:lineRule="auto"/>
      </w:pPr>
      <w:r>
        <w:separator/>
      </w:r>
    </w:p>
  </w:endnote>
  <w:endnote w:type="continuationSeparator" w:id="0">
    <w:p w14:paraId="2AEB3E02" w14:textId="77777777" w:rsidR="00FD57AE" w:rsidRDefault="00FD57AE" w:rsidP="006F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3C9B7" w14:textId="77777777" w:rsidR="00FD57AE" w:rsidRDefault="00FD57AE" w:rsidP="006F4943">
      <w:pPr>
        <w:spacing w:after="0" w:line="240" w:lineRule="auto"/>
      </w:pPr>
      <w:r>
        <w:separator/>
      </w:r>
    </w:p>
  </w:footnote>
  <w:footnote w:type="continuationSeparator" w:id="0">
    <w:p w14:paraId="692B9BF1" w14:textId="77777777" w:rsidR="00FD57AE" w:rsidRDefault="00FD57AE" w:rsidP="006F4943">
      <w:pPr>
        <w:spacing w:after="0" w:line="240" w:lineRule="auto"/>
      </w:pPr>
      <w:r>
        <w:continuationSeparator/>
      </w:r>
    </w:p>
  </w:footnote>
  <w:footnote w:id="1">
    <w:p w14:paraId="6FF6563F" w14:textId="2AA81F6F" w:rsidR="006F4943" w:rsidRDefault="006F4943">
      <w:pPr>
        <w:pStyle w:val="FootnoteText"/>
      </w:pPr>
      <w:r>
        <w:rPr>
          <w:rStyle w:val="FootnoteReference"/>
        </w:rPr>
        <w:footnoteRef/>
      </w:r>
      <w:r>
        <w:t xml:space="preserve">  </w:t>
      </w:r>
      <w:r w:rsidRPr="00D63BAD">
        <w:rPr>
          <w:rFonts w:ascii="Arial" w:hAnsi="Arial" w:cs="Arial"/>
        </w:rPr>
        <w:t>However, such compensation must be “in addition to” remuneration or wages already received. That is, employers may not reduce such workers’ current pay and use Fiscal Recovery Funds to compensate themselves for premium pay previously provided to the worker.</w:t>
      </w:r>
      <w:r>
        <w:t xml:space="preserve"> </w:t>
      </w:r>
    </w:p>
  </w:footnote>
  <w:footnote w:id="2">
    <w:p w14:paraId="38B95178" w14:textId="25EA0202" w:rsidR="00261E8E" w:rsidRPr="00516EC3" w:rsidRDefault="00261E8E">
      <w:pPr>
        <w:pStyle w:val="FootnoteText"/>
        <w:rPr>
          <w:rFonts w:ascii="Arial" w:hAnsi="Arial" w:cs="Arial"/>
        </w:rPr>
      </w:pPr>
      <w:r>
        <w:rPr>
          <w:rStyle w:val="FootnoteReference"/>
        </w:rPr>
        <w:footnoteRef/>
      </w:r>
      <w:r>
        <w:t xml:space="preserve"> </w:t>
      </w:r>
      <w:r w:rsidR="004B3FB5">
        <w:t xml:space="preserve"> </w:t>
      </w:r>
      <w:r w:rsidR="004B3FB5" w:rsidRPr="00516EC3">
        <w:rPr>
          <w:rFonts w:ascii="Arial" w:hAnsi="Arial" w:cs="Arial"/>
        </w:rPr>
        <w:t>Recipients may not use FRF funds for costs of premium pay incurred before March 3,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74E47"/>
    <w:multiLevelType w:val="hybridMultilevel"/>
    <w:tmpl w:val="D818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24"/>
    <w:rsid w:val="00005537"/>
    <w:rsid w:val="00043357"/>
    <w:rsid w:val="00047924"/>
    <w:rsid w:val="00062CA6"/>
    <w:rsid w:val="00070105"/>
    <w:rsid w:val="00072A6C"/>
    <w:rsid w:val="000B0B9F"/>
    <w:rsid w:val="000F05F6"/>
    <w:rsid w:val="000F2DF5"/>
    <w:rsid w:val="00144B63"/>
    <w:rsid w:val="00153FA8"/>
    <w:rsid w:val="001C7F8A"/>
    <w:rsid w:val="001D4975"/>
    <w:rsid w:val="002004B7"/>
    <w:rsid w:val="00244B1B"/>
    <w:rsid w:val="00261E8E"/>
    <w:rsid w:val="0029374B"/>
    <w:rsid w:val="002A4E2B"/>
    <w:rsid w:val="002A6909"/>
    <w:rsid w:val="0030244B"/>
    <w:rsid w:val="00305318"/>
    <w:rsid w:val="00310A12"/>
    <w:rsid w:val="003154C4"/>
    <w:rsid w:val="00365899"/>
    <w:rsid w:val="003E2471"/>
    <w:rsid w:val="003F22A5"/>
    <w:rsid w:val="0041089D"/>
    <w:rsid w:val="00416FD7"/>
    <w:rsid w:val="00417964"/>
    <w:rsid w:val="00427479"/>
    <w:rsid w:val="0045768C"/>
    <w:rsid w:val="004B3FB5"/>
    <w:rsid w:val="004D3D08"/>
    <w:rsid w:val="00516EC3"/>
    <w:rsid w:val="00537472"/>
    <w:rsid w:val="005423C8"/>
    <w:rsid w:val="00565E5D"/>
    <w:rsid w:val="00570B3C"/>
    <w:rsid w:val="00580E00"/>
    <w:rsid w:val="005837E2"/>
    <w:rsid w:val="005D1BC5"/>
    <w:rsid w:val="005F712B"/>
    <w:rsid w:val="006153A8"/>
    <w:rsid w:val="00655442"/>
    <w:rsid w:val="00673496"/>
    <w:rsid w:val="00676944"/>
    <w:rsid w:val="0067722F"/>
    <w:rsid w:val="006A65D8"/>
    <w:rsid w:val="006F4943"/>
    <w:rsid w:val="00712143"/>
    <w:rsid w:val="00725E6A"/>
    <w:rsid w:val="00751C7A"/>
    <w:rsid w:val="007A07E6"/>
    <w:rsid w:val="007C6BA4"/>
    <w:rsid w:val="007D58F6"/>
    <w:rsid w:val="007E166E"/>
    <w:rsid w:val="008035B8"/>
    <w:rsid w:val="00847FA5"/>
    <w:rsid w:val="00854879"/>
    <w:rsid w:val="0086008F"/>
    <w:rsid w:val="00890367"/>
    <w:rsid w:val="00897E91"/>
    <w:rsid w:val="008E5A3B"/>
    <w:rsid w:val="00992659"/>
    <w:rsid w:val="009C283C"/>
    <w:rsid w:val="009E0B92"/>
    <w:rsid w:val="00A0785C"/>
    <w:rsid w:val="00A12550"/>
    <w:rsid w:val="00A37524"/>
    <w:rsid w:val="00A70590"/>
    <w:rsid w:val="00AB122F"/>
    <w:rsid w:val="00AB1755"/>
    <w:rsid w:val="00AD14BF"/>
    <w:rsid w:val="00B00422"/>
    <w:rsid w:val="00B11869"/>
    <w:rsid w:val="00B8336D"/>
    <w:rsid w:val="00BB55FF"/>
    <w:rsid w:val="00BE0904"/>
    <w:rsid w:val="00C0469A"/>
    <w:rsid w:val="00C11104"/>
    <w:rsid w:val="00C605EA"/>
    <w:rsid w:val="00C94805"/>
    <w:rsid w:val="00CB58BF"/>
    <w:rsid w:val="00D038A5"/>
    <w:rsid w:val="00D06FE1"/>
    <w:rsid w:val="00D63BAD"/>
    <w:rsid w:val="00D70AA5"/>
    <w:rsid w:val="00D74507"/>
    <w:rsid w:val="00D83D66"/>
    <w:rsid w:val="00D96652"/>
    <w:rsid w:val="00E2495A"/>
    <w:rsid w:val="00E51CB7"/>
    <w:rsid w:val="00E71FC6"/>
    <w:rsid w:val="00E74B98"/>
    <w:rsid w:val="00E91309"/>
    <w:rsid w:val="00EA6CEC"/>
    <w:rsid w:val="00ED62A0"/>
    <w:rsid w:val="00F63112"/>
    <w:rsid w:val="00F80A71"/>
    <w:rsid w:val="00F81CED"/>
    <w:rsid w:val="00FD57AE"/>
    <w:rsid w:val="00FE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C57D"/>
  <w15:chartTrackingRefBased/>
  <w15:docId w15:val="{6D0D6680-9584-4E06-89DD-8EFDC96D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659"/>
    <w:pPr>
      <w:ind w:left="720"/>
      <w:contextualSpacing/>
    </w:pPr>
  </w:style>
  <w:style w:type="paragraph" w:styleId="FootnoteText">
    <w:name w:val="footnote text"/>
    <w:basedOn w:val="Normal"/>
    <w:link w:val="FootnoteTextChar"/>
    <w:uiPriority w:val="99"/>
    <w:semiHidden/>
    <w:unhideWhenUsed/>
    <w:rsid w:val="006F4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943"/>
    <w:rPr>
      <w:sz w:val="20"/>
      <w:szCs w:val="20"/>
    </w:rPr>
  </w:style>
  <w:style w:type="character" w:styleId="FootnoteReference">
    <w:name w:val="footnote reference"/>
    <w:basedOn w:val="DefaultParagraphFont"/>
    <w:uiPriority w:val="99"/>
    <w:semiHidden/>
    <w:unhideWhenUsed/>
    <w:rsid w:val="006F4943"/>
    <w:rPr>
      <w:vertAlign w:val="superscript"/>
    </w:rPr>
  </w:style>
  <w:style w:type="character" w:styleId="Hyperlink">
    <w:name w:val="Hyperlink"/>
    <w:basedOn w:val="DefaultParagraphFont"/>
    <w:uiPriority w:val="99"/>
    <w:unhideWhenUsed/>
    <w:rsid w:val="00144B63"/>
    <w:rPr>
      <w:color w:val="0000FF"/>
      <w:u w:val="single"/>
    </w:rPr>
  </w:style>
  <w:style w:type="character" w:styleId="FollowedHyperlink">
    <w:name w:val="FollowedHyperlink"/>
    <w:basedOn w:val="DefaultParagraphFont"/>
    <w:uiPriority w:val="99"/>
    <w:semiHidden/>
    <w:unhideWhenUsed/>
    <w:rsid w:val="00144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601039">
      <w:bodyDiv w:val="1"/>
      <w:marLeft w:val="0"/>
      <w:marRight w:val="0"/>
      <w:marTop w:val="0"/>
      <w:marBottom w:val="0"/>
      <w:divBdr>
        <w:top w:val="none" w:sz="0" w:space="0" w:color="auto"/>
        <w:left w:val="none" w:sz="0" w:space="0" w:color="auto"/>
        <w:bottom w:val="none" w:sz="0" w:space="0" w:color="auto"/>
        <w:right w:val="none" w:sz="0" w:space="0" w:color="auto"/>
      </w:divBdr>
      <w:divsChild>
        <w:div w:id="24405527">
          <w:marLeft w:val="0"/>
          <w:marRight w:val="0"/>
          <w:marTop w:val="240"/>
          <w:marBottom w:val="0"/>
          <w:divBdr>
            <w:top w:val="none" w:sz="0" w:space="0" w:color="auto"/>
            <w:left w:val="none" w:sz="0" w:space="0" w:color="auto"/>
            <w:bottom w:val="none" w:sz="0" w:space="0" w:color="auto"/>
            <w:right w:val="none" w:sz="0" w:space="0" w:color="auto"/>
          </w:divBdr>
          <w:divsChild>
            <w:div w:id="2122332150">
              <w:marLeft w:val="0"/>
              <w:marRight w:val="0"/>
              <w:marTop w:val="0"/>
              <w:marBottom w:val="0"/>
              <w:divBdr>
                <w:top w:val="none" w:sz="0" w:space="0" w:color="auto"/>
                <w:left w:val="none" w:sz="0" w:space="0" w:color="auto"/>
                <w:bottom w:val="none" w:sz="0" w:space="0" w:color="auto"/>
                <w:right w:val="none" w:sz="0" w:space="0" w:color="auto"/>
              </w:divBdr>
            </w:div>
          </w:divsChild>
        </w:div>
        <w:div w:id="1324509891">
          <w:marLeft w:val="0"/>
          <w:marRight w:val="0"/>
          <w:marTop w:val="240"/>
          <w:marBottom w:val="0"/>
          <w:divBdr>
            <w:top w:val="none" w:sz="0" w:space="0" w:color="auto"/>
            <w:left w:val="none" w:sz="0" w:space="0" w:color="auto"/>
            <w:bottom w:val="none" w:sz="0" w:space="0" w:color="auto"/>
            <w:right w:val="none" w:sz="0" w:space="0" w:color="auto"/>
          </w:divBdr>
          <w:divsChild>
            <w:div w:id="348065281">
              <w:marLeft w:val="0"/>
              <w:marRight w:val="0"/>
              <w:marTop w:val="0"/>
              <w:marBottom w:val="0"/>
              <w:divBdr>
                <w:top w:val="none" w:sz="0" w:space="0" w:color="auto"/>
                <w:left w:val="none" w:sz="0" w:space="0" w:color="auto"/>
                <w:bottom w:val="none" w:sz="0" w:space="0" w:color="auto"/>
                <w:right w:val="none" w:sz="0" w:space="0" w:color="auto"/>
              </w:divBdr>
            </w:div>
          </w:divsChild>
        </w:div>
        <w:div w:id="327752357">
          <w:marLeft w:val="0"/>
          <w:marRight w:val="0"/>
          <w:marTop w:val="240"/>
          <w:marBottom w:val="0"/>
          <w:divBdr>
            <w:top w:val="none" w:sz="0" w:space="0" w:color="auto"/>
            <w:left w:val="none" w:sz="0" w:space="0" w:color="auto"/>
            <w:bottom w:val="none" w:sz="0" w:space="0" w:color="auto"/>
            <w:right w:val="none" w:sz="0" w:space="0" w:color="auto"/>
          </w:divBdr>
          <w:divsChild>
            <w:div w:id="16181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1910">
      <w:bodyDiv w:val="1"/>
      <w:marLeft w:val="0"/>
      <w:marRight w:val="0"/>
      <w:marTop w:val="0"/>
      <w:marBottom w:val="0"/>
      <w:divBdr>
        <w:top w:val="none" w:sz="0" w:space="0" w:color="auto"/>
        <w:left w:val="none" w:sz="0" w:space="0" w:color="auto"/>
        <w:bottom w:val="none" w:sz="0" w:space="0" w:color="auto"/>
        <w:right w:val="none" w:sz="0" w:space="0" w:color="auto"/>
      </w:divBdr>
      <w:divsChild>
        <w:div w:id="523985912">
          <w:marLeft w:val="0"/>
          <w:marRight w:val="0"/>
          <w:marTop w:val="240"/>
          <w:marBottom w:val="0"/>
          <w:divBdr>
            <w:top w:val="none" w:sz="0" w:space="0" w:color="auto"/>
            <w:left w:val="none" w:sz="0" w:space="0" w:color="auto"/>
            <w:bottom w:val="none" w:sz="0" w:space="0" w:color="auto"/>
            <w:right w:val="none" w:sz="0" w:space="0" w:color="auto"/>
          </w:divBdr>
          <w:divsChild>
            <w:div w:id="2023821020">
              <w:marLeft w:val="0"/>
              <w:marRight w:val="0"/>
              <w:marTop w:val="0"/>
              <w:marBottom w:val="0"/>
              <w:divBdr>
                <w:top w:val="none" w:sz="0" w:space="0" w:color="auto"/>
                <w:left w:val="none" w:sz="0" w:space="0" w:color="auto"/>
                <w:bottom w:val="none" w:sz="0" w:space="0" w:color="auto"/>
                <w:right w:val="none" w:sz="0" w:space="0" w:color="auto"/>
              </w:divBdr>
            </w:div>
          </w:divsChild>
        </w:div>
        <w:div w:id="1316645481">
          <w:marLeft w:val="0"/>
          <w:marRight w:val="0"/>
          <w:marTop w:val="240"/>
          <w:marBottom w:val="0"/>
          <w:divBdr>
            <w:top w:val="none" w:sz="0" w:space="0" w:color="auto"/>
            <w:left w:val="none" w:sz="0" w:space="0" w:color="auto"/>
            <w:bottom w:val="none" w:sz="0" w:space="0" w:color="auto"/>
            <w:right w:val="none" w:sz="0" w:space="0" w:color="auto"/>
          </w:divBdr>
          <w:divsChild>
            <w:div w:id="1108038437">
              <w:marLeft w:val="0"/>
              <w:marRight w:val="0"/>
              <w:marTop w:val="0"/>
              <w:marBottom w:val="0"/>
              <w:divBdr>
                <w:top w:val="none" w:sz="0" w:space="0" w:color="auto"/>
                <w:left w:val="none" w:sz="0" w:space="0" w:color="auto"/>
                <w:bottom w:val="none" w:sz="0" w:space="0" w:color="auto"/>
                <w:right w:val="none" w:sz="0" w:space="0" w:color="auto"/>
              </w:divBdr>
            </w:div>
          </w:divsChild>
        </w:div>
        <w:div w:id="1963614474">
          <w:marLeft w:val="0"/>
          <w:marRight w:val="0"/>
          <w:marTop w:val="240"/>
          <w:marBottom w:val="0"/>
          <w:divBdr>
            <w:top w:val="none" w:sz="0" w:space="0" w:color="auto"/>
            <w:left w:val="none" w:sz="0" w:space="0" w:color="auto"/>
            <w:bottom w:val="none" w:sz="0" w:space="0" w:color="auto"/>
            <w:right w:val="none" w:sz="0" w:space="0" w:color="auto"/>
          </w:divBdr>
          <w:divsChild>
            <w:div w:id="14678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2921">
      <w:bodyDiv w:val="1"/>
      <w:marLeft w:val="0"/>
      <w:marRight w:val="0"/>
      <w:marTop w:val="0"/>
      <w:marBottom w:val="0"/>
      <w:divBdr>
        <w:top w:val="none" w:sz="0" w:space="0" w:color="auto"/>
        <w:left w:val="none" w:sz="0" w:space="0" w:color="auto"/>
        <w:bottom w:val="none" w:sz="0" w:space="0" w:color="auto"/>
        <w:right w:val="none" w:sz="0" w:space="0" w:color="auto"/>
      </w:divBdr>
      <w:divsChild>
        <w:div w:id="1594970248">
          <w:marLeft w:val="0"/>
          <w:marRight w:val="0"/>
          <w:marTop w:val="240"/>
          <w:marBottom w:val="0"/>
          <w:divBdr>
            <w:top w:val="none" w:sz="0" w:space="0" w:color="auto"/>
            <w:left w:val="none" w:sz="0" w:space="0" w:color="auto"/>
            <w:bottom w:val="none" w:sz="0" w:space="0" w:color="auto"/>
            <w:right w:val="none" w:sz="0" w:space="0" w:color="auto"/>
          </w:divBdr>
          <w:divsChild>
            <w:div w:id="1014040195">
              <w:marLeft w:val="0"/>
              <w:marRight w:val="0"/>
              <w:marTop w:val="0"/>
              <w:marBottom w:val="0"/>
              <w:divBdr>
                <w:top w:val="none" w:sz="0" w:space="0" w:color="auto"/>
                <w:left w:val="none" w:sz="0" w:space="0" w:color="auto"/>
                <w:bottom w:val="none" w:sz="0" w:space="0" w:color="auto"/>
                <w:right w:val="none" w:sz="0" w:space="0" w:color="auto"/>
              </w:divBdr>
            </w:div>
          </w:divsChild>
        </w:div>
        <w:div w:id="1301348441">
          <w:marLeft w:val="0"/>
          <w:marRight w:val="0"/>
          <w:marTop w:val="240"/>
          <w:marBottom w:val="0"/>
          <w:divBdr>
            <w:top w:val="none" w:sz="0" w:space="0" w:color="auto"/>
            <w:left w:val="none" w:sz="0" w:space="0" w:color="auto"/>
            <w:bottom w:val="none" w:sz="0" w:space="0" w:color="auto"/>
            <w:right w:val="none" w:sz="0" w:space="0" w:color="auto"/>
          </w:divBdr>
          <w:divsChild>
            <w:div w:id="378631969">
              <w:marLeft w:val="0"/>
              <w:marRight w:val="0"/>
              <w:marTop w:val="0"/>
              <w:marBottom w:val="0"/>
              <w:divBdr>
                <w:top w:val="none" w:sz="0" w:space="0" w:color="auto"/>
                <w:left w:val="none" w:sz="0" w:space="0" w:color="auto"/>
                <w:bottom w:val="none" w:sz="0" w:space="0" w:color="auto"/>
                <w:right w:val="none" w:sz="0" w:space="0" w:color="auto"/>
              </w:divBdr>
            </w:div>
          </w:divsChild>
        </w:div>
        <w:div w:id="814949532">
          <w:marLeft w:val="0"/>
          <w:marRight w:val="0"/>
          <w:marTop w:val="240"/>
          <w:marBottom w:val="0"/>
          <w:divBdr>
            <w:top w:val="none" w:sz="0" w:space="0" w:color="auto"/>
            <w:left w:val="none" w:sz="0" w:space="0" w:color="auto"/>
            <w:bottom w:val="none" w:sz="0" w:space="0" w:color="auto"/>
            <w:right w:val="none" w:sz="0" w:space="0" w:color="auto"/>
          </w:divBdr>
          <w:divsChild>
            <w:div w:id="1803890105">
              <w:marLeft w:val="0"/>
              <w:marRight w:val="0"/>
              <w:marTop w:val="0"/>
              <w:marBottom w:val="0"/>
              <w:divBdr>
                <w:top w:val="none" w:sz="0" w:space="0" w:color="auto"/>
                <w:left w:val="none" w:sz="0" w:space="0" w:color="auto"/>
                <w:bottom w:val="none" w:sz="0" w:space="0" w:color="auto"/>
                <w:right w:val="none" w:sz="0" w:space="0" w:color="auto"/>
              </w:divBdr>
            </w:div>
          </w:divsChild>
        </w:div>
        <w:div w:id="1913612876">
          <w:marLeft w:val="0"/>
          <w:marRight w:val="0"/>
          <w:marTop w:val="240"/>
          <w:marBottom w:val="0"/>
          <w:divBdr>
            <w:top w:val="none" w:sz="0" w:space="0" w:color="auto"/>
            <w:left w:val="none" w:sz="0" w:space="0" w:color="auto"/>
            <w:bottom w:val="none" w:sz="0" w:space="0" w:color="auto"/>
            <w:right w:val="none" w:sz="0" w:space="0" w:color="auto"/>
          </w:divBdr>
          <w:divsChild>
            <w:div w:id="216163842">
              <w:marLeft w:val="0"/>
              <w:marRight w:val="0"/>
              <w:marTop w:val="0"/>
              <w:marBottom w:val="0"/>
              <w:divBdr>
                <w:top w:val="none" w:sz="0" w:space="0" w:color="auto"/>
                <w:left w:val="none" w:sz="0" w:space="0" w:color="auto"/>
                <w:bottom w:val="none" w:sz="0" w:space="0" w:color="auto"/>
                <w:right w:val="none" w:sz="0" w:space="0" w:color="auto"/>
              </w:divBdr>
            </w:div>
          </w:divsChild>
        </w:div>
        <w:div w:id="957028463">
          <w:marLeft w:val="0"/>
          <w:marRight w:val="0"/>
          <w:marTop w:val="240"/>
          <w:marBottom w:val="0"/>
          <w:divBdr>
            <w:top w:val="none" w:sz="0" w:space="0" w:color="auto"/>
            <w:left w:val="none" w:sz="0" w:space="0" w:color="auto"/>
            <w:bottom w:val="none" w:sz="0" w:space="0" w:color="auto"/>
            <w:right w:val="none" w:sz="0" w:space="0" w:color="auto"/>
          </w:divBdr>
          <w:divsChild>
            <w:div w:id="496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5-17/pdf/2021-1028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FRP@treasur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D764-D519-4008-A031-E3D55567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Finance and Administration</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dc:creator>
  <cp:keywords/>
  <dc:description/>
  <cp:lastModifiedBy>Sandhya Kombathula</cp:lastModifiedBy>
  <cp:revision>2</cp:revision>
  <cp:lastPrinted>2021-08-02T20:01:00Z</cp:lastPrinted>
  <dcterms:created xsi:type="dcterms:W3CDTF">2021-08-18T14:47:00Z</dcterms:created>
  <dcterms:modified xsi:type="dcterms:W3CDTF">2021-08-18T14:47:00Z</dcterms:modified>
</cp:coreProperties>
</file>